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98" w:rsidRDefault="00F53B98" w:rsidP="00F53B98">
      <w:pPr>
        <w:spacing w:line="480" w:lineRule="auto"/>
        <w:jc w:val="center"/>
      </w:pPr>
      <w:bookmarkStart w:id="0" w:name="_GoBack"/>
      <w:bookmarkEnd w:id="0"/>
    </w:p>
    <w:p w:rsidR="00F53B98" w:rsidRDefault="00F53B98" w:rsidP="00F53B98">
      <w:pPr>
        <w:spacing w:line="480" w:lineRule="auto"/>
        <w:jc w:val="center"/>
      </w:pPr>
    </w:p>
    <w:p w:rsidR="00F53B98" w:rsidRDefault="00F53B98" w:rsidP="00F53B98">
      <w:pPr>
        <w:spacing w:line="480" w:lineRule="auto"/>
        <w:jc w:val="center"/>
      </w:pPr>
    </w:p>
    <w:p w:rsidR="00F53B98" w:rsidRDefault="00F53B98" w:rsidP="00F53B98">
      <w:pPr>
        <w:spacing w:line="480" w:lineRule="auto"/>
        <w:jc w:val="center"/>
      </w:pPr>
    </w:p>
    <w:p w:rsidR="005D4BD3" w:rsidRPr="005D4BD3" w:rsidRDefault="004C09E7" w:rsidP="00F53B98">
      <w:pPr>
        <w:spacing w:line="480" w:lineRule="auto"/>
        <w:jc w:val="center"/>
      </w:pPr>
      <w:r w:rsidRPr="005D4BD3">
        <w:t>Sergio tax memo</w:t>
      </w:r>
    </w:p>
    <w:p w:rsidR="005D4BD3" w:rsidRDefault="004C09E7" w:rsidP="00F53B98">
      <w:pPr>
        <w:spacing w:line="480" w:lineRule="auto"/>
        <w:jc w:val="center"/>
      </w:pPr>
      <w:r>
        <w:t>Institutional affiliation</w:t>
      </w:r>
    </w:p>
    <w:p w:rsidR="005D4BD3" w:rsidRDefault="004C09E7" w:rsidP="00F53B98">
      <w:pPr>
        <w:spacing w:line="480" w:lineRule="auto"/>
        <w:jc w:val="center"/>
      </w:pPr>
      <w:r>
        <w:t>Name of the student</w:t>
      </w:r>
    </w:p>
    <w:p w:rsidR="005D4BD3" w:rsidRDefault="004C09E7" w:rsidP="00F53B98">
      <w:pPr>
        <w:spacing w:line="480" w:lineRule="auto"/>
        <w:jc w:val="center"/>
      </w:pPr>
      <w:r>
        <w:t>Name of lecturer</w:t>
      </w:r>
    </w:p>
    <w:p w:rsidR="005D4BD3" w:rsidRDefault="004C09E7" w:rsidP="00F53B98">
      <w:pPr>
        <w:spacing w:line="480" w:lineRule="auto"/>
        <w:jc w:val="center"/>
      </w:pPr>
      <w:r>
        <w:t xml:space="preserve">Due date </w:t>
      </w:r>
      <w:r>
        <w:br w:type="page"/>
      </w:r>
    </w:p>
    <w:p w:rsidR="00721407" w:rsidRPr="001D0C71" w:rsidRDefault="004C09E7" w:rsidP="001D0C71">
      <w:pPr>
        <w:spacing w:line="480" w:lineRule="auto"/>
        <w:jc w:val="center"/>
        <w:rPr>
          <w:b/>
        </w:rPr>
      </w:pPr>
      <w:r w:rsidRPr="001D0C71">
        <w:rPr>
          <w:b/>
        </w:rPr>
        <w:lastRenderedPageBreak/>
        <w:t>Sergio tax memo</w:t>
      </w:r>
    </w:p>
    <w:p w:rsidR="001A4447" w:rsidRPr="005E4066" w:rsidRDefault="004C09E7" w:rsidP="001D0C71">
      <w:pPr>
        <w:spacing w:line="480" w:lineRule="auto"/>
        <w:jc w:val="center"/>
        <w:rPr>
          <w:b/>
        </w:rPr>
      </w:pPr>
      <w:r w:rsidRPr="005E4066">
        <w:rPr>
          <w:b/>
        </w:rPr>
        <w:t>Facts</w:t>
      </w:r>
    </w:p>
    <w:p w:rsidR="001A4447" w:rsidRDefault="004C09E7" w:rsidP="001D0C71">
      <w:pPr>
        <w:spacing w:line="480" w:lineRule="auto"/>
        <w:jc w:val="both"/>
      </w:pPr>
      <w:r>
        <w:t>On March 25</w:t>
      </w:r>
      <w:r w:rsidRPr="001A4447">
        <w:rPr>
          <w:vertAlign w:val="superscript"/>
        </w:rPr>
        <w:t>th</w:t>
      </w:r>
      <w:r>
        <w:t>, Sergio entered into a contract to sell real estate for $1 million.</w:t>
      </w:r>
    </w:p>
    <w:p w:rsidR="001A4447" w:rsidRDefault="004C09E7" w:rsidP="001D0C71">
      <w:pPr>
        <w:spacing w:line="480" w:lineRule="auto"/>
        <w:jc w:val="both"/>
      </w:pPr>
      <w:r>
        <w:t xml:space="preserve">The sale was subject to rezoning from R-7 to VN-2, and the adjusted basis of the property was $200,000. </w:t>
      </w:r>
    </w:p>
    <w:p w:rsidR="001A4447" w:rsidRDefault="004C09E7" w:rsidP="001D0C71">
      <w:pPr>
        <w:spacing w:line="480" w:lineRule="auto"/>
        <w:jc w:val="both"/>
      </w:pPr>
      <w:r>
        <w:t>The buyer placed a refund</w:t>
      </w:r>
      <w:r w:rsidR="0069695D">
        <w:t>able $50,000 in escrow if the rezoning is not achieved by September 30</w:t>
      </w:r>
      <w:r w:rsidR="0069695D" w:rsidRPr="0069695D">
        <w:rPr>
          <w:vertAlign w:val="superscript"/>
        </w:rPr>
        <w:t>th</w:t>
      </w:r>
      <w:r w:rsidR="0069695D">
        <w:t xml:space="preserve">. </w:t>
      </w:r>
    </w:p>
    <w:p w:rsidR="0069695D" w:rsidRDefault="004C09E7" w:rsidP="001D0C71">
      <w:pPr>
        <w:spacing w:line="480" w:lineRule="auto"/>
        <w:jc w:val="both"/>
      </w:pPr>
      <w:r>
        <w:t>Sergio worked on the rezoning until his death on Se</w:t>
      </w:r>
      <w:r>
        <w:t>ptember 6</w:t>
      </w:r>
      <w:r w:rsidRPr="0069695D">
        <w:rPr>
          <w:vertAlign w:val="superscript"/>
        </w:rPr>
        <w:t>th</w:t>
      </w:r>
      <w:r>
        <w:t xml:space="preserve">. </w:t>
      </w:r>
    </w:p>
    <w:p w:rsidR="0069695D" w:rsidRDefault="004C09E7" w:rsidP="001D0C71">
      <w:pPr>
        <w:spacing w:line="480" w:lineRule="auto"/>
        <w:jc w:val="both"/>
      </w:pPr>
      <w:r>
        <w:t>The rezoning was approved on September 17</w:t>
      </w:r>
      <w:r w:rsidRPr="0069695D">
        <w:rPr>
          <w:vertAlign w:val="superscript"/>
        </w:rPr>
        <w:t>th</w:t>
      </w:r>
      <w:r>
        <w:t xml:space="preserve">. </w:t>
      </w:r>
    </w:p>
    <w:p w:rsidR="0069695D" w:rsidRDefault="004C09E7" w:rsidP="001D0C71">
      <w:pPr>
        <w:spacing w:line="480" w:lineRule="auto"/>
        <w:jc w:val="both"/>
      </w:pPr>
      <w:r>
        <w:t>The remainder of the price ($950,000) was paid to the estate on September 19</w:t>
      </w:r>
      <w:r w:rsidRPr="0069695D">
        <w:rPr>
          <w:vertAlign w:val="superscript"/>
        </w:rPr>
        <w:t>th</w:t>
      </w:r>
      <w:r>
        <w:t xml:space="preserve">. </w:t>
      </w:r>
    </w:p>
    <w:p w:rsidR="00077F38" w:rsidRPr="009C3D00" w:rsidRDefault="004C09E7" w:rsidP="001D0C71">
      <w:pPr>
        <w:spacing w:line="480" w:lineRule="auto"/>
        <w:jc w:val="center"/>
        <w:rPr>
          <w:b/>
        </w:rPr>
      </w:pPr>
      <w:r w:rsidRPr="009C3D00">
        <w:rPr>
          <w:b/>
        </w:rPr>
        <w:t>Issue</w:t>
      </w:r>
    </w:p>
    <w:p w:rsidR="00077F38" w:rsidRDefault="004C09E7" w:rsidP="001D0C71">
      <w:pPr>
        <w:spacing w:line="480" w:lineRule="auto"/>
        <w:jc w:val="both"/>
      </w:pPr>
      <w:r>
        <w:t>Did the sale of the real estate occur before or after the death of Sergio?</w:t>
      </w:r>
    </w:p>
    <w:p w:rsidR="00306F29" w:rsidRPr="009C3D00" w:rsidRDefault="004C09E7" w:rsidP="001D0C71">
      <w:pPr>
        <w:spacing w:line="480" w:lineRule="auto"/>
        <w:jc w:val="center"/>
        <w:rPr>
          <w:b/>
        </w:rPr>
      </w:pPr>
      <w:r w:rsidRPr="009C3D00">
        <w:rPr>
          <w:b/>
        </w:rPr>
        <w:t>Relevant authority</w:t>
      </w:r>
    </w:p>
    <w:p w:rsidR="009C3D00" w:rsidRDefault="004C09E7" w:rsidP="001D0C71">
      <w:pPr>
        <w:spacing w:line="480" w:lineRule="auto"/>
        <w:jc w:val="both"/>
      </w:pPr>
      <w:r w:rsidRPr="00167A9B">
        <w:t>§§ 691 and 1040</w:t>
      </w:r>
    </w:p>
    <w:p w:rsidR="00167A9B" w:rsidRDefault="004C09E7" w:rsidP="001D0C71">
      <w:pPr>
        <w:spacing w:line="480" w:lineRule="auto"/>
        <w:jc w:val="both"/>
      </w:pPr>
      <w:r>
        <w:t>George W. Keck, 49 T.C 313 (1968), Rev’d 69-2 USTC- 9626, 24 AFTR 2d 69-5554, 415 f.2d 531 (CA-6, 1969).</w:t>
      </w:r>
    </w:p>
    <w:p w:rsidR="00167A9B" w:rsidRDefault="004C09E7" w:rsidP="001D0C71">
      <w:pPr>
        <w:spacing w:line="480" w:lineRule="auto"/>
        <w:jc w:val="both"/>
      </w:pPr>
      <w:r>
        <w:t>Trust Company of Georgia v. Ross, 68-1 USTC 9133, 21 AFTR 2d 311, 392 F.2d 694 (CA-5. 1967).</w:t>
      </w:r>
    </w:p>
    <w:p w:rsidR="00A317A2" w:rsidRPr="005E4066" w:rsidRDefault="004C09E7" w:rsidP="001D0C71">
      <w:pPr>
        <w:spacing w:line="480" w:lineRule="auto"/>
        <w:jc w:val="center"/>
        <w:rPr>
          <w:b/>
        </w:rPr>
      </w:pPr>
      <w:r w:rsidRPr="005E4066">
        <w:rPr>
          <w:b/>
        </w:rPr>
        <w:t>Conclusion</w:t>
      </w:r>
    </w:p>
    <w:p w:rsidR="00A317A2" w:rsidRDefault="004C09E7" w:rsidP="001D0C71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</w:t>
      </w:r>
      <w:r w:rsidR="004C3B94">
        <w:t xml:space="preserve"> purchaser paid the remaining amount as the rezoning was approved before the expiry of the set date.</w:t>
      </w:r>
    </w:p>
    <w:p w:rsidR="004C3B94" w:rsidRDefault="004C09E7" w:rsidP="001D0C71">
      <w:pPr>
        <w:pStyle w:val="ListParagraph"/>
        <w:numPr>
          <w:ilvl w:val="0"/>
          <w:numId w:val="1"/>
        </w:numPr>
        <w:spacing w:line="480" w:lineRule="auto"/>
        <w:jc w:val="both"/>
      </w:pPr>
      <w:r>
        <w:t>The money paid in escrow was not refunded as the expiry was not met, and the rezoning was approved on September 17</w:t>
      </w:r>
      <w:r w:rsidRPr="00C46884">
        <w:rPr>
          <w:vertAlign w:val="superscript"/>
        </w:rPr>
        <w:t>th</w:t>
      </w:r>
      <w:r>
        <w:t xml:space="preserve">, an early date before the expiry date. </w:t>
      </w:r>
    </w:p>
    <w:p w:rsidR="001A532E" w:rsidRDefault="004C09E7" w:rsidP="001D0C71">
      <w:pPr>
        <w:pStyle w:val="ListParagraph"/>
        <w:numPr>
          <w:ilvl w:val="0"/>
          <w:numId w:val="1"/>
        </w:numPr>
        <w:spacing w:line="480" w:lineRule="auto"/>
        <w:jc w:val="both"/>
      </w:pPr>
      <w:r>
        <w:t>In the United States, approval of rezoning real estate takes 180 days after the day of application. However, the rezoning approval was done on September 17</w:t>
      </w:r>
      <w:r w:rsidRPr="00C46884">
        <w:rPr>
          <w:vertAlign w:val="superscript"/>
        </w:rPr>
        <w:t>th</w:t>
      </w:r>
      <w:r>
        <w:t xml:space="preserve">, and thus the sale was made before the death of Sergio. </w:t>
      </w:r>
    </w:p>
    <w:p w:rsidR="005E4066" w:rsidRDefault="004C09E7" w:rsidP="001D0C71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Due to the price of the real estate, a tax of up to $20,000 would be paid. </w:t>
      </w:r>
      <w:r w:rsidR="00AB0473">
        <w:t xml:space="preserve">In addition, a 15% tax is paid for any profit made from the sale. </w:t>
      </w:r>
    </w:p>
    <w:p w:rsidR="00AB0473" w:rsidRDefault="004C09E7" w:rsidP="001D0C71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The estimated value of the building is $200,000. Sergio is therefore entitled to a tax of 15% on the profit made. </w:t>
      </w:r>
    </w:p>
    <w:p w:rsidR="00BA3468" w:rsidRDefault="004C09E7" w:rsidP="001D0C71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The payment of the building is made to the decedents, and thus, the income is entitled to tax deduction according to IRC 691c. </w:t>
      </w:r>
      <w:r w:rsidR="00BB4980">
        <w:t xml:space="preserve"> </w:t>
      </w:r>
      <w:r w:rsidR="0003237E">
        <w:t>This is</w:t>
      </w:r>
      <w:r w:rsidR="00BB4980">
        <w:t xml:space="preserve"> upon reporting of the deceased on form 1040.  </w:t>
      </w:r>
    </w:p>
    <w:p w:rsidR="00AB0473" w:rsidRPr="00865AB1" w:rsidRDefault="004C09E7" w:rsidP="001D0C71">
      <w:pPr>
        <w:spacing w:line="480" w:lineRule="auto"/>
        <w:jc w:val="center"/>
        <w:rPr>
          <w:b/>
        </w:rPr>
      </w:pPr>
      <w:r w:rsidRPr="00865AB1">
        <w:rPr>
          <w:b/>
        </w:rPr>
        <w:t>Analysis</w:t>
      </w:r>
    </w:p>
    <w:p w:rsidR="005B0168" w:rsidRDefault="004C09E7" w:rsidP="001D0C71">
      <w:pPr>
        <w:spacing w:line="480" w:lineRule="auto"/>
        <w:ind w:firstLine="720"/>
        <w:jc w:val="both"/>
      </w:pPr>
      <w:r>
        <w:t xml:space="preserve">Sergio's death did not stop rezoning the real estate, which he </w:t>
      </w:r>
      <w:r>
        <w:t xml:space="preserve">had initiated earlier. This was after the sale of the property. </w:t>
      </w:r>
      <w:r w:rsidR="00E3320B">
        <w:t>The process continued, and after the rezoning approval on September 17</w:t>
      </w:r>
      <w:r w:rsidR="00E3320B" w:rsidRPr="00E3320B">
        <w:rPr>
          <w:vertAlign w:val="superscript"/>
        </w:rPr>
        <w:t>th</w:t>
      </w:r>
      <w:r w:rsidR="00E3320B">
        <w:t xml:space="preserve">, the buyer had to pay the reaming amount of the money to </w:t>
      </w:r>
      <w:r w:rsidR="009469C8">
        <w:t>Sergio despite</w:t>
      </w:r>
      <w:r w:rsidR="00E3320B">
        <w:t xml:space="preserve"> his death. </w:t>
      </w:r>
      <w:r w:rsidR="00B845D3">
        <w:t xml:space="preserve">As such, his </w:t>
      </w:r>
      <w:r w:rsidR="009469C8">
        <w:t>decedents</w:t>
      </w:r>
      <w:r w:rsidR="00B845D3">
        <w:t xml:space="preserve"> received the payment on behave of Sergio. </w:t>
      </w:r>
      <w:r w:rsidR="005E311D">
        <w:t xml:space="preserve">Under the IRC 691c, decedents of the deceased are allowed tax deduction on </w:t>
      </w:r>
      <w:r w:rsidR="00BE0B8C">
        <w:t>property sale. However, the income earned is subjected to 15% tax on the profit earned from the property sale. And thus, the amount earned will be taxed, but tax deduction</w:t>
      </w:r>
      <w:r w:rsidR="00934953">
        <w:t>s</w:t>
      </w:r>
      <w:r w:rsidR="00BE0B8C">
        <w:t xml:space="preserve"> are allowed as stipulated in IRC 691c. </w:t>
      </w:r>
      <w:r w:rsidR="005E311D">
        <w:t xml:space="preserve"> </w:t>
      </w:r>
    </w:p>
    <w:p w:rsidR="00865AB1" w:rsidRDefault="004C09E7" w:rsidP="001D0C71">
      <w:pPr>
        <w:spacing w:line="480" w:lineRule="auto"/>
        <w:ind w:firstLine="720"/>
        <w:jc w:val="both"/>
      </w:pPr>
      <w:r>
        <w:t>The United States constitution allows 180 days after the applicati</w:t>
      </w:r>
      <w:r w:rsidR="004A5049">
        <w:t>on of rezoning of real estate. For Sergio's case, the rezoning was approved on September 17th, eleven days after his death. W</w:t>
      </w:r>
      <w:r w:rsidR="00910AD7">
        <w:t>hat</w:t>
      </w:r>
      <w:r w:rsidR="004A5049">
        <w:t xml:space="preserve"> is meant by this is that the rezoning was </w:t>
      </w:r>
      <w:r w:rsidR="00CE42FF">
        <w:t xml:space="preserve">applied </w:t>
      </w:r>
      <w:r w:rsidR="004A5049">
        <w:t>180 days ago before his death. Also, rezoning is applied after the sale of the property, and that means the b</w:t>
      </w:r>
      <w:r w:rsidR="009C559C">
        <w:t>uilding was sold before the death</w:t>
      </w:r>
      <w:r w:rsidR="004A5049">
        <w:t xml:space="preserve"> of Sergio. </w:t>
      </w:r>
      <w:r w:rsidR="00F95A99">
        <w:t>The</w:t>
      </w:r>
      <w:r w:rsidR="000F57E1">
        <w:t xml:space="preserve"> buyer paid the remai</w:t>
      </w:r>
      <w:r w:rsidR="00F95A99">
        <w:t>ni</w:t>
      </w:r>
      <w:r w:rsidR="000F57E1">
        <w:t xml:space="preserve">ng amount of money to Sergio even after his death as the money is paid to his </w:t>
      </w:r>
      <w:r w:rsidR="00F95A99">
        <w:t>decedents</w:t>
      </w:r>
      <w:r w:rsidR="000F57E1">
        <w:t xml:space="preserve">. </w:t>
      </w:r>
      <w:r w:rsidR="00F95A99">
        <w:t>This is because the money paid on escrow is not refundable, as the rezoning is done before the expiry date.</w:t>
      </w:r>
    </w:p>
    <w:p w:rsidR="00BA3468" w:rsidRDefault="00BA3468" w:rsidP="001D0C71">
      <w:pPr>
        <w:spacing w:line="480" w:lineRule="auto"/>
      </w:pPr>
    </w:p>
    <w:p w:rsidR="00AB0473" w:rsidRDefault="00AB0473"/>
    <w:p w:rsidR="004C3B94" w:rsidRDefault="004C3B94"/>
    <w:p w:rsidR="001A4447" w:rsidRDefault="001A4447"/>
    <w:sectPr w:rsidR="001A444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E7" w:rsidRDefault="004C09E7">
      <w:pPr>
        <w:spacing w:after="0"/>
      </w:pPr>
      <w:r>
        <w:separator/>
      </w:r>
    </w:p>
  </w:endnote>
  <w:endnote w:type="continuationSeparator" w:id="0">
    <w:p w:rsidR="004C09E7" w:rsidRDefault="004C09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E7" w:rsidRDefault="004C09E7">
      <w:pPr>
        <w:spacing w:after="0"/>
      </w:pPr>
      <w:r>
        <w:separator/>
      </w:r>
    </w:p>
  </w:footnote>
  <w:footnote w:type="continuationSeparator" w:id="0">
    <w:p w:rsidR="004C09E7" w:rsidRDefault="004C09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2640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0C71" w:rsidRDefault="004C09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0C71" w:rsidRDefault="001D0C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E2A68"/>
    <w:multiLevelType w:val="hybridMultilevel"/>
    <w:tmpl w:val="CFFC7934"/>
    <w:lvl w:ilvl="0" w:tplc="DDAA5F18">
      <w:start w:val="1"/>
      <w:numFmt w:val="decimal"/>
      <w:lvlText w:val="%1."/>
      <w:lvlJc w:val="left"/>
      <w:pPr>
        <w:ind w:left="720" w:hanging="360"/>
      </w:pPr>
    </w:lvl>
    <w:lvl w:ilvl="1" w:tplc="77544C40" w:tentative="1">
      <w:start w:val="1"/>
      <w:numFmt w:val="lowerLetter"/>
      <w:lvlText w:val="%2."/>
      <w:lvlJc w:val="left"/>
      <w:pPr>
        <w:ind w:left="1440" w:hanging="360"/>
      </w:pPr>
    </w:lvl>
    <w:lvl w:ilvl="2" w:tplc="94B8F7D4" w:tentative="1">
      <w:start w:val="1"/>
      <w:numFmt w:val="lowerRoman"/>
      <w:lvlText w:val="%3."/>
      <w:lvlJc w:val="right"/>
      <w:pPr>
        <w:ind w:left="2160" w:hanging="180"/>
      </w:pPr>
    </w:lvl>
    <w:lvl w:ilvl="3" w:tplc="4C5AAFF0" w:tentative="1">
      <w:start w:val="1"/>
      <w:numFmt w:val="decimal"/>
      <w:lvlText w:val="%4."/>
      <w:lvlJc w:val="left"/>
      <w:pPr>
        <w:ind w:left="2880" w:hanging="360"/>
      </w:pPr>
    </w:lvl>
    <w:lvl w:ilvl="4" w:tplc="0FEAF728" w:tentative="1">
      <w:start w:val="1"/>
      <w:numFmt w:val="lowerLetter"/>
      <w:lvlText w:val="%5."/>
      <w:lvlJc w:val="left"/>
      <w:pPr>
        <w:ind w:left="3600" w:hanging="360"/>
      </w:pPr>
    </w:lvl>
    <w:lvl w:ilvl="5" w:tplc="6442AC5C" w:tentative="1">
      <w:start w:val="1"/>
      <w:numFmt w:val="lowerRoman"/>
      <w:lvlText w:val="%6."/>
      <w:lvlJc w:val="right"/>
      <w:pPr>
        <w:ind w:left="4320" w:hanging="180"/>
      </w:pPr>
    </w:lvl>
    <w:lvl w:ilvl="6" w:tplc="C2C45278" w:tentative="1">
      <w:start w:val="1"/>
      <w:numFmt w:val="decimal"/>
      <w:lvlText w:val="%7."/>
      <w:lvlJc w:val="left"/>
      <w:pPr>
        <w:ind w:left="5040" w:hanging="360"/>
      </w:pPr>
    </w:lvl>
    <w:lvl w:ilvl="7" w:tplc="3EDE4B2A" w:tentative="1">
      <w:start w:val="1"/>
      <w:numFmt w:val="lowerLetter"/>
      <w:lvlText w:val="%8."/>
      <w:lvlJc w:val="left"/>
      <w:pPr>
        <w:ind w:left="5760" w:hanging="360"/>
      </w:pPr>
    </w:lvl>
    <w:lvl w:ilvl="8" w:tplc="F6860B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47"/>
    <w:rsid w:val="0001503D"/>
    <w:rsid w:val="0003237E"/>
    <w:rsid w:val="00077F38"/>
    <w:rsid w:val="000F57E1"/>
    <w:rsid w:val="0015481E"/>
    <w:rsid w:val="00167A9B"/>
    <w:rsid w:val="001A4447"/>
    <w:rsid w:val="001A532E"/>
    <w:rsid w:val="001D0C71"/>
    <w:rsid w:val="001E0870"/>
    <w:rsid w:val="001F1FF9"/>
    <w:rsid w:val="00215317"/>
    <w:rsid w:val="00306F29"/>
    <w:rsid w:val="003254A6"/>
    <w:rsid w:val="0032700F"/>
    <w:rsid w:val="0040654F"/>
    <w:rsid w:val="00431EE2"/>
    <w:rsid w:val="004A5049"/>
    <w:rsid w:val="004C09E7"/>
    <w:rsid w:val="004C3B94"/>
    <w:rsid w:val="005402A8"/>
    <w:rsid w:val="005B0168"/>
    <w:rsid w:val="005C2D32"/>
    <w:rsid w:val="005D4BD3"/>
    <w:rsid w:val="005E311D"/>
    <w:rsid w:val="005E4066"/>
    <w:rsid w:val="006538C1"/>
    <w:rsid w:val="00654FCE"/>
    <w:rsid w:val="0069695D"/>
    <w:rsid w:val="006A1B3B"/>
    <w:rsid w:val="00721407"/>
    <w:rsid w:val="00775954"/>
    <w:rsid w:val="007F561C"/>
    <w:rsid w:val="00865AB1"/>
    <w:rsid w:val="008B7028"/>
    <w:rsid w:val="008E4C61"/>
    <w:rsid w:val="00910AD7"/>
    <w:rsid w:val="00920905"/>
    <w:rsid w:val="00934953"/>
    <w:rsid w:val="009469C8"/>
    <w:rsid w:val="00974806"/>
    <w:rsid w:val="009C3D00"/>
    <w:rsid w:val="009C559C"/>
    <w:rsid w:val="00A317A2"/>
    <w:rsid w:val="00A66AED"/>
    <w:rsid w:val="00A854CB"/>
    <w:rsid w:val="00AB0473"/>
    <w:rsid w:val="00B845D3"/>
    <w:rsid w:val="00BA3468"/>
    <w:rsid w:val="00BB4980"/>
    <w:rsid w:val="00BE0B8C"/>
    <w:rsid w:val="00C46884"/>
    <w:rsid w:val="00CE42FF"/>
    <w:rsid w:val="00E3320B"/>
    <w:rsid w:val="00E75337"/>
    <w:rsid w:val="00EE2660"/>
    <w:rsid w:val="00EE6CCB"/>
    <w:rsid w:val="00F03DD9"/>
    <w:rsid w:val="00F53B98"/>
    <w:rsid w:val="00F9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C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0C71"/>
  </w:style>
  <w:style w:type="paragraph" w:styleId="Footer">
    <w:name w:val="footer"/>
    <w:basedOn w:val="Normal"/>
    <w:link w:val="FooterChar"/>
    <w:uiPriority w:val="99"/>
    <w:unhideWhenUsed/>
    <w:rsid w:val="001D0C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0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C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0C71"/>
  </w:style>
  <w:style w:type="paragraph" w:styleId="Footer">
    <w:name w:val="footer"/>
    <w:basedOn w:val="Normal"/>
    <w:link w:val="FooterChar"/>
    <w:uiPriority w:val="99"/>
    <w:unhideWhenUsed/>
    <w:rsid w:val="001D0C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2021-06-14T17:05:00Z</dcterms:created>
  <dcterms:modified xsi:type="dcterms:W3CDTF">2021-06-14T17:05:00Z</dcterms:modified>
</cp:coreProperties>
</file>